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FA" w:rsidRPr="002B14FA" w:rsidRDefault="002B14FA" w:rsidP="002B14F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наиболее значимых публикаций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БыкасоваЛ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СамойловаА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ПодберезныйВ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Establishment of the subject in the digital education: cognitive practices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synthesys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European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Procceedings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Social and Behavioral Sciences, 2020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Kononova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O.A</w:t>
      </w:r>
      <w:proofErr w:type="gram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V.V.,.,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Pershonkova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E.A. «Information-measuring system for the eutrophication estimation of the water body» JOP Conference Series: Metrological Support of Innovative Technologies. Krasnoyarsk Science and Technology City Hall of the Russian Union of Scientific and Engineering Associations.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Krasnoyarsk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С. 22041.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Kononova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O.A.,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Zarubina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R.V. «The effect of eutrophication on human health on the example of the Gulf of Taganrog of the Sea of Azov», IOP Conference Series: Earth and Environmental Science.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bookmarkStart w:id="0" w:name="_GoBack"/>
      <w:bookmarkEnd w:id="0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ceedings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. V. 548.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Быкасова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Подберезный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Петрушенко С.А.,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Першонкова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Терских И.А.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Pedagogicaleliteformation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ЦИТИСЭ № 2(19) 2019. Электронный научный журнал.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Быкасова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Подберезный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Першонкова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Самойлова А.Н. «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ofdigitaleducationalorganization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eastAsia="ru-RU"/>
        </w:rPr>
        <w:t>[ПW1] [ПW2] //ЦИТИСЭ № 2(19) 2019. Электронный научный журнал. Журнал из перечня ВАК.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Попов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Подберезный</w:t>
      </w:r>
      <w:proofErr w:type="spellEnd"/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Social Transformation in the Context of Temporal References ASTRA SALVENSIS. </w:t>
      </w:r>
      <w:proofErr w:type="spellStart"/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Salva</w:t>
      </w:r>
      <w:proofErr w:type="spellEnd"/>
      <w:r w:rsidRPr="002B14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2019 № 13, P. 385-395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effect of eutrophication on human health on the example of the Gulf of Taganrog of the Sea of Azov IOP Conference Series: Earth and Environmental Science. Conference proceedings. V. 548, 2020.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ecological assessment of the eutrophic biogenic load of the water body</w:t>
      </w:r>
      <w:r w:rsidRPr="002B14F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E3S Web of Conferences 193?022012 (2020)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geoecological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assessment of the internal and external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biogenous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load of the waters of the Gulf of Taganrog of the Sea of Azov Processes in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Geomedia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: Volume II, 2020. ISBN 978-3-030-53521-6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Zhidkova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Podberesnij</w:t>
      </w:r>
      <w:proofErr w:type="spellEnd"/>
      <w:r w:rsidRPr="002B1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Lapshina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I.V.,The</w:t>
      </w:r>
      <w:proofErr w:type="spellEnd"/>
      <w:proofErr w:type="gram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concept of the modern threats in the techno-end biospheres during the information age. The intellectual practices. (</w:t>
      </w:r>
      <w:r w:rsidRPr="002B14FA">
        <w:rPr>
          <w:rFonts w:ascii="Times New Roman" w:eastAsia="Calibri" w:hAnsi="Times New Roman" w:cs="Times New Roman"/>
          <w:sz w:val="28"/>
          <w:szCs w:val="28"/>
        </w:rPr>
        <w:t>монография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ISBN 978-5-6045119-5-4 / under the authors redaction. – Taganrog: Publisher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Stupin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, 2021 – 118 pages.</w:t>
      </w:r>
    </w:p>
    <w:p w:rsidR="002B14FA" w:rsidRPr="002B14FA" w:rsidRDefault="002B14FA" w:rsidP="002B14FA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Bykasova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L.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Podberesnij</w:t>
      </w:r>
      <w:proofErr w:type="spell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V.</w:t>
      </w:r>
      <w:proofErr w:type="gramStart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V.Heutagogy</w:t>
      </w:r>
      <w:proofErr w:type="spellEnd"/>
      <w:proofErr w:type="gramEnd"/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a concept of online education in higher school </w:t>
      </w:r>
      <w:r w:rsidRPr="002B14F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E3S Web of Conferences </w:t>
      </w:r>
      <w:r w:rsidRPr="002B14FA">
        <w:rPr>
          <w:rFonts w:ascii="Times New Roman" w:eastAsia="Calibri" w:hAnsi="Times New Roman" w:cs="Times New Roman"/>
          <w:sz w:val="28"/>
          <w:szCs w:val="28"/>
          <w:lang w:val="en-US"/>
        </w:rPr>
        <w:t>Scopus. 2021</w:t>
      </w:r>
    </w:p>
    <w:p w:rsidR="00BA329A" w:rsidRDefault="002B14FA"/>
    <w:sectPr w:rsidR="00BA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0BB"/>
    <w:multiLevelType w:val="multilevel"/>
    <w:tmpl w:val="41CC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4"/>
    <w:rsid w:val="001203A2"/>
    <w:rsid w:val="002B14FA"/>
    <w:rsid w:val="007109A4"/>
    <w:rsid w:val="00E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80A5"/>
  <w15:chartTrackingRefBased/>
  <w15:docId w15:val="{75ACA795-C104-409C-9FA6-F434C4CB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2022-01-23T12:13:00Z</dcterms:created>
  <dcterms:modified xsi:type="dcterms:W3CDTF">2022-01-23T12:15:00Z</dcterms:modified>
</cp:coreProperties>
</file>