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F" w:rsidRDefault="000B70EF">
      <w:pPr>
        <w:pStyle w:val="1"/>
        <w:tabs>
          <w:tab w:val="left" w:pos="0"/>
        </w:tabs>
        <w:jc w:val="center"/>
      </w:pPr>
      <w:r>
        <w:rPr>
          <w:rFonts w:eastAsia="Times New Roman"/>
          <w:sz w:val="28"/>
          <w:szCs w:val="28"/>
          <w:lang w:val="ru-RU"/>
        </w:rPr>
        <w:t xml:space="preserve">Список </w:t>
      </w:r>
    </w:p>
    <w:p w:rsidR="000B70EF" w:rsidRDefault="000B70EF">
      <w:pPr>
        <w:jc w:val="center"/>
      </w:pPr>
      <w:r>
        <w:rPr>
          <w:rFonts w:eastAsia="Times New Roman"/>
          <w:sz w:val="28"/>
          <w:szCs w:val="28"/>
          <w:lang w:val="ru-RU"/>
        </w:rPr>
        <w:t>научных работ доцента кафедры английского языка</w:t>
      </w:r>
    </w:p>
    <w:p w:rsidR="000B70EF" w:rsidRDefault="000B70EF">
      <w:pPr>
        <w:jc w:val="center"/>
        <w:rPr>
          <w:rFonts w:eastAsia="Times New Roman"/>
          <w:lang w:val="ru-RU"/>
        </w:rPr>
      </w:pPr>
    </w:p>
    <w:p w:rsidR="000B70EF" w:rsidRDefault="000B70EF">
      <w:pPr>
        <w:tabs>
          <w:tab w:val="left" w:pos="0"/>
        </w:tabs>
        <w:jc w:val="center"/>
      </w:pPr>
      <w:r>
        <w:rPr>
          <w:rFonts w:eastAsia="Times New Roman"/>
          <w:bCs/>
          <w:spacing w:val="-5"/>
          <w:lang w:val="ru-RU"/>
        </w:rPr>
        <w:t xml:space="preserve">ЩИТОВОЙ НАТАЛЬИ ГЕОРГИЕВНЫ </w:t>
      </w:r>
      <w:r>
        <w:rPr>
          <w:rFonts w:eastAsia="Times New Roman"/>
          <w:bCs/>
          <w:spacing w:val="-5"/>
          <w:sz w:val="28"/>
          <w:szCs w:val="28"/>
          <w:lang w:val="ru-RU"/>
        </w:rPr>
        <w:t>за 2015-2018 г.г.</w:t>
      </w:r>
    </w:p>
    <w:p w:rsidR="000B70EF" w:rsidRDefault="000B70EF">
      <w:pPr>
        <w:tabs>
          <w:tab w:val="left" w:pos="360"/>
        </w:tabs>
        <w:jc w:val="both"/>
      </w:pPr>
    </w:p>
    <w:tbl>
      <w:tblPr>
        <w:tblW w:w="0" w:type="auto"/>
        <w:tblInd w:w="-3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7"/>
        <w:gridCol w:w="2683"/>
        <w:gridCol w:w="53"/>
        <w:gridCol w:w="737"/>
        <w:gridCol w:w="36"/>
        <w:gridCol w:w="2594"/>
        <w:gridCol w:w="16"/>
        <w:gridCol w:w="1078"/>
        <w:gridCol w:w="19"/>
        <w:gridCol w:w="2248"/>
        <w:gridCol w:w="60"/>
        <w:gridCol w:w="12"/>
        <w:gridCol w:w="30"/>
        <w:gridCol w:w="125"/>
        <w:gridCol w:w="111"/>
      </w:tblGrid>
      <w:tr w:rsidR="000B70EF"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</w:pPr>
            <w:r>
              <w:rPr>
                <w:rFonts w:eastAsia="Times New Roman"/>
                <w:sz w:val="28"/>
                <w:szCs w:val="28"/>
                <w:lang w:val="ru-RU"/>
              </w:rPr>
              <w:t>Особенности работы с художественным текстом в вузе (на материале романа Джулии Дарлинг «</w:t>
            </w:r>
            <w:r>
              <w:rPr>
                <w:rFonts w:eastAsia="Times New Roman"/>
                <w:sz w:val="28"/>
                <w:szCs w:val="28"/>
                <w:lang w:val="en-US"/>
              </w:rPr>
              <w:t>The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Taxi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Driver</w:t>
            </w:r>
            <w:r>
              <w:rPr>
                <w:rFonts w:eastAsia="Times New Roman"/>
                <w:sz w:val="28"/>
                <w:szCs w:val="28"/>
                <w:lang w:val="ru-RU"/>
              </w:rPr>
              <w:t>'</w:t>
            </w:r>
            <w:r>
              <w:rPr>
                <w:rFonts w:eastAsia="Times New Roman"/>
                <w:sz w:val="28"/>
                <w:szCs w:val="28"/>
                <w:lang w:val="en-US"/>
              </w:rPr>
              <w:t>s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Daughter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») </w:t>
            </w:r>
            <w:r>
              <w:rPr>
                <w:rStyle w:val="Strong"/>
                <w:rFonts w:eastAsia="Lucida Sans Unicode"/>
                <w:b w:val="0"/>
                <w:sz w:val="28"/>
                <w:szCs w:val="28"/>
                <w:lang w:val="ru-RU"/>
              </w:rPr>
              <w:t xml:space="preserve">(статья) </w:t>
            </w:r>
          </w:p>
        </w:tc>
        <w:tc>
          <w:tcPr>
            <w:tcW w:w="8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 </w:t>
            </w:r>
          </w:p>
        </w:tc>
        <w:tc>
          <w:tcPr>
            <w:tcW w:w="2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jc w:val="both"/>
            </w:pPr>
            <w:r>
              <w:rPr>
                <w:sz w:val="28"/>
                <w:szCs w:val="28"/>
              </w:rPr>
              <w:t>Вестник Таганрогского института имени А.П. Чехова. Гуманитарные науки. Таганрог, 2015. № 2.</w:t>
            </w:r>
            <w:r>
              <w:rPr>
                <w:rFonts w:eastAsia="TimesNewRomanPS-BoldMT"/>
                <w:sz w:val="28"/>
                <w:szCs w:val="28"/>
                <w:lang w:val="ru-RU" w:eastAsia="zh-CN"/>
              </w:rPr>
              <w:t>–</w:t>
            </w:r>
            <w:r>
              <w:rPr>
                <w:sz w:val="28"/>
                <w:szCs w:val="28"/>
              </w:rPr>
              <w:t xml:space="preserve"> С. 45-49. </w:t>
            </w:r>
            <w:r>
              <w:rPr>
                <w:rStyle w:val="Strong"/>
                <w:rFonts w:eastAsia="Times New Roman"/>
                <w:b w:val="0"/>
                <w:bCs w:val="0"/>
                <w:sz w:val="28"/>
                <w:szCs w:val="28"/>
                <w:lang w:val="ru-RU"/>
              </w:rPr>
              <w:t>(РИНЦ).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>0,5 п.л.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jc w:val="both"/>
            </w:pPr>
            <w:r>
              <w:rPr>
                <w:rFonts w:eastAsia="SimSun"/>
                <w:sz w:val="28"/>
                <w:szCs w:val="28"/>
                <w:lang w:val="ru-RU" w:eastAsia="zh-CN"/>
              </w:rPr>
              <w:t xml:space="preserve">«Герой нашего времени» в современной американской литературе </w:t>
            </w:r>
            <w:r>
              <w:rPr>
                <w:rStyle w:val="Strong"/>
                <w:rFonts w:eastAsia="Lucida Sans Unicode"/>
                <w:b w:val="0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jc w:val="both"/>
            </w:pPr>
            <w:r>
              <w:rPr>
                <w:rStyle w:val="Strong"/>
                <w:rFonts w:eastAsia="Times New Roman"/>
                <w:b w:val="0"/>
                <w:sz w:val="28"/>
                <w:szCs w:val="28"/>
                <w:lang w:val="ru-RU"/>
              </w:rPr>
              <w:t>Языковая личность. Речевые жанры. Текст: сборник научных статей/ под ред. И.В. Голубевой.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ru-RU" w:eastAsia="zh-CN"/>
              </w:rPr>
              <w:t>–</w:t>
            </w: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Таганрог, 2015.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ru-RU" w:eastAsia="zh-CN"/>
              </w:rPr>
              <w:t>–С. 94-99</w:t>
            </w: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>0,4</w:t>
            </w:r>
          </w:p>
          <w:p w:rsidR="000B70EF" w:rsidRDefault="000B70EF">
            <w:pPr>
              <w:snapToGrid w:val="0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>п.л.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Гнусарева И.И. </w:t>
            </w: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Fonts w:eastAsia="SimSun"/>
                <w:sz w:val="28"/>
                <w:szCs w:val="28"/>
                <w:lang w:val="ru-RU" w:eastAsia="zh-CN"/>
              </w:rPr>
              <w:t xml:space="preserve">Лингвистическая креативность рекламного дискурса: </w:t>
            </w:r>
            <w:r>
              <w:rPr>
                <w:rFonts w:eastAsia="SimSun"/>
                <w:bCs/>
                <w:sz w:val="28"/>
                <w:szCs w:val="28"/>
                <w:lang w:val="ru-RU" w:eastAsia="zh-CN"/>
              </w:rPr>
              <w:t>(коллективная монография)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ru-RU" w:eastAsia="zh-CN"/>
              </w:rPr>
              <w:t>Таганрог: Изд-во ИП Ступин А.Н., 2016. – 212 с.</w:t>
            </w: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ru-RU" w:eastAsia="zh-CN"/>
              </w:rPr>
              <w:t xml:space="preserve">– </w:t>
            </w: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. 29-49).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both"/>
            </w:pP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10 п.л./(</w:t>
            </w:r>
            <w:r>
              <w:rPr>
                <w:rFonts w:eastAsia="Times New Roman"/>
                <w:sz w:val="28"/>
                <w:szCs w:val="28"/>
                <w:lang w:val="ru-RU"/>
              </w:rPr>
              <w:t>1,3 п.л.)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>Жуковская Н.В., Кликушина Т.Г.,Павленко Л.Г.,Демонова Ю.М., Минка А.Н., Полякова Е.В.</w:t>
            </w: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line="0" w:lineRule="atLeast"/>
              <w:ind w:left="12"/>
              <w:jc w:val="both"/>
            </w:pP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ru-RU"/>
              </w:rPr>
              <w:t>Характеристика цветообозначений (на материале романа Сьюзен Коллинз “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en-US"/>
              </w:rPr>
              <w:t>The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en-US"/>
              </w:rPr>
              <w:t>Hunger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en-US"/>
              </w:rPr>
              <w:t>Games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ru-RU"/>
              </w:rPr>
              <w:t xml:space="preserve">”) </w:t>
            </w:r>
            <w:r>
              <w:rPr>
                <w:rStyle w:val="Strong"/>
                <w:rFonts w:eastAsia="Lucida Sans Unicode"/>
                <w:b w:val="0"/>
                <w:spacing w:val="-5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</w:pPr>
            <w:r>
              <w:rPr>
                <w:rStyle w:val="Strong"/>
                <w:rFonts w:eastAsia="SimSun"/>
                <w:b w:val="0"/>
                <w:spacing w:val="-5"/>
                <w:sz w:val="28"/>
                <w:szCs w:val="28"/>
                <w:lang w:val="ru-RU" w:eastAsia="zh-CN"/>
              </w:rPr>
              <w:t xml:space="preserve">Филологические науки. Вопросы теории и практики. </w:t>
            </w:r>
            <w:r>
              <w:rPr>
                <w:rStyle w:val="Strong"/>
                <w:rFonts w:eastAsia="TimesNewRomanPS-BoldMT"/>
                <w:b w:val="0"/>
                <w:spacing w:val="-5"/>
                <w:sz w:val="28"/>
                <w:szCs w:val="28"/>
                <w:lang w:val="ru-RU" w:eastAsia="zh-CN"/>
              </w:rPr>
              <w:t xml:space="preserve">– </w:t>
            </w:r>
            <w:r>
              <w:rPr>
                <w:rStyle w:val="Strong"/>
                <w:rFonts w:eastAsia="SimSun"/>
                <w:b w:val="0"/>
                <w:spacing w:val="-5"/>
                <w:sz w:val="28"/>
                <w:szCs w:val="28"/>
                <w:lang w:val="ru-RU" w:eastAsia="zh-CN"/>
              </w:rPr>
              <w:t xml:space="preserve">Тамбов: Грамота, 2016. </w:t>
            </w:r>
            <w:r>
              <w:rPr>
                <w:rStyle w:val="Strong"/>
                <w:rFonts w:eastAsia="TimesNewRomanPS-BoldMT"/>
                <w:b w:val="0"/>
                <w:spacing w:val="-5"/>
                <w:sz w:val="28"/>
                <w:szCs w:val="28"/>
                <w:lang w:val="ru-RU" w:eastAsia="zh-CN"/>
              </w:rPr>
              <w:t xml:space="preserve">– </w:t>
            </w:r>
            <w:r>
              <w:rPr>
                <w:rStyle w:val="Strong"/>
                <w:rFonts w:eastAsia="SimSun"/>
                <w:b w:val="0"/>
                <w:spacing w:val="-5"/>
                <w:sz w:val="28"/>
                <w:szCs w:val="28"/>
                <w:lang w:val="ru-RU" w:eastAsia="zh-CN"/>
              </w:rPr>
              <w:t xml:space="preserve">№11 (65): в 3-x ч. </w:t>
            </w:r>
            <w:r>
              <w:rPr>
                <w:rStyle w:val="Strong"/>
                <w:rFonts w:eastAsia="TimesNewRomanPS-BoldMT"/>
                <w:b w:val="0"/>
                <w:spacing w:val="-5"/>
                <w:sz w:val="28"/>
                <w:szCs w:val="28"/>
                <w:lang w:val="ru-RU" w:eastAsia="zh-CN"/>
              </w:rPr>
              <w:t xml:space="preserve">– </w:t>
            </w:r>
            <w:r>
              <w:rPr>
                <w:rStyle w:val="Strong"/>
                <w:rFonts w:eastAsia="SimSun"/>
                <w:b w:val="0"/>
                <w:spacing w:val="-5"/>
                <w:sz w:val="28"/>
                <w:szCs w:val="28"/>
                <w:lang w:val="ru-RU" w:eastAsia="zh-CN"/>
              </w:rPr>
              <w:t xml:space="preserve">Ч.2. </w:t>
            </w:r>
            <w:r>
              <w:rPr>
                <w:rStyle w:val="Strong"/>
                <w:rFonts w:eastAsia="TimesNewRomanPS-BoldMT"/>
                <w:b w:val="0"/>
                <w:spacing w:val="-5"/>
                <w:sz w:val="28"/>
                <w:szCs w:val="28"/>
                <w:lang w:val="ru-RU" w:eastAsia="zh-CN"/>
              </w:rPr>
              <w:t>– С. 171-173.</w:t>
            </w:r>
            <w:r>
              <w:rPr>
                <w:rStyle w:val="Strong"/>
                <w:rFonts w:eastAsia="SimSun"/>
                <w:b w:val="0"/>
                <w:bCs w:val="0"/>
                <w:spacing w:val="-5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lang w:val="ru-RU" w:eastAsia="zh-CN"/>
              </w:rPr>
              <w:t>(Входит в перечень ВАК).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line="0" w:lineRule="atLeast"/>
              <w:ind w:left="12"/>
              <w:jc w:val="both"/>
            </w:pPr>
            <w:r>
              <w:rPr>
                <w:rStyle w:val="Strong"/>
                <w:rFonts w:eastAsia="Times New Roman"/>
                <w:b w:val="0"/>
                <w:spacing w:val="-5"/>
                <w:sz w:val="28"/>
                <w:szCs w:val="28"/>
                <w:lang w:val="ru-RU"/>
              </w:rPr>
              <w:t>0,4 п.л..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_</w:t>
            </w: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Fonts w:eastAsia="SimSun"/>
                <w:iCs/>
                <w:sz w:val="28"/>
                <w:szCs w:val="28"/>
                <w:lang w:val="ru-RU" w:eastAsia="zh-CN"/>
              </w:rPr>
              <w:t xml:space="preserve">Творчество Дж. К. Роулинг: особенности и влияние на молодое поколение </w:t>
            </w:r>
            <w:r>
              <w:rPr>
                <w:rStyle w:val="Strong"/>
                <w:rFonts w:eastAsia="Lucida Sans Unicode"/>
                <w:b w:val="0"/>
                <w:spacing w:val="-5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Fonts w:eastAsia="SimSun"/>
                <w:iCs/>
                <w:sz w:val="28"/>
                <w:szCs w:val="28"/>
                <w:lang w:val="ru-RU" w:eastAsia="zh-CN"/>
              </w:rPr>
              <w:t xml:space="preserve">Роль женщины в развитии современной науки и образования : сборник материалов Международной научно-практической конференции, 17–18 мая 2016 г., Минск / БГУ ; редкол.: И. В. </w:t>
            </w:r>
            <w:r>
              <w:rPr>
                <w:rFonts w:eastAsia="SimSun"/>
                <w:iCs/>
                <w:sz w:val="28"/>
                <w:szCs w:val="28"/>
                <w:lang w:val="ru-RU" w:eastAsia="zh-CN"/>
              </w:rPr>
              <w:lastRenderedPageBreak/>
              <w:t>Казакова, А. В. Бутина, И. В. Олюнина. – Минск : БГУ, 2016. – С. 700-703.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lastRenderedPageBreak/>
              <w:t>0,4 п.л.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_</w:t>
            </w: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sz w:val="28"/>
                <w:szCs w:val="28"/>
                <w:lang w:val="en-US" w:eastAsia="zh-CN"/>
              </w:rPr>
              <w:t>Precedent Phenomena in the Speech Communication of Modern Youth // 'Language and Speech in Synchrony and Diachrony: Papers from an International Linguistics Conference' (edited by Galina T. Polenova and Tatiana G. Klikushina).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en-US" w:eastAsia="zh-CN"/>
              </w:rPr>
              <w:t xml:space="preserve">– </w:t>
            </w:r>
            <w:r>
              <w:rPr>
                <w:rStyle w:val="Strong"/>
                <w:b w:val="0"/>
                <w:sz w:val="28"/>
                <w:szCs w:val="28"/>
                <w:lang w:val="en-US" w:eastAsia="zh-CN"/>
              </w:rPr>
              <w:t>(</w:t>
            </w:r>
            <w:r>
              <w:rPr>
                <w:rStyle w:val="Strong"/>
                <w:b w:val="0"/>
                <w:sz w:val="28"/>
                <w:szCs w:val="28"/>
                <w:lang w:val="ru-RU" w:eastAsia="zh-CN"/>
              </w:rPr>
              <w:t xml:space="preserve">на англ. яз.) </w:t>
            </w:r>
            <w:r>
              <w:rPr>
                <w:rStyle w:val="Strong"/>
                <w:b w:val="0"/>
                <w:sz w:val="28"/>
                <w:szCs w:val="28"/>
                <w:lang w:val="ru-RU"/>
              </w:rPr>
              <w:t xml:space="preserve"> 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0" w:lineRule="atLeast"/>
              <w:ind w:left="12"/>
              <w:jc w:val="both"/>
            </w:pPr>
            <w:r>
              <w:rPr>
                <w:rFonts w:eastAsia="SimSun"/>
                <w:iCs/>
                <w:sz w:val="28"/>
                <w:szCs w:val="28"/>
                <w:lang w:val="ru-RU" w:eastAsia="zh-CN"/>
              </w:rPr>
              <w:t xml:space="preserve">Cambridge Scholars Publishing, 2017. 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ru-RU" w:eastAsia="zh-CN"/>
              </w:rPr>
              <w:t xml:space="preserve">– 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en-US" w:eastAsia="zh-CN"/>
              </w:rPr>
              <w:t>402-407 p.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(0,4 п.л.)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_</w:t>
            </w: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Strong"/>
                <w:b w:val="0"/>
                <w:sz w:val="28"/>
                <w:szCs w:val="28"/>
                <w:lang w:val="ru-RU"/>
              </w:rPr>
              <w:t>Окказионализмы в речи современной молодежи  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0" w:lineRule="atLeast"/>
              <w:ind w:left="12"/>
              <w:jc w:val="both"/>
            </w:pPr>
            <w:r>
              <w:rPr>
                <w:rStyle w:val="Strong"/>
                <w:rFonts w:eastAsia="SimSun"/>
                <w:b w:val="0"/>
                <w:iCs/>
                <w:sz w:val="28"/>
                <w:szCs w:val="28"/>
                <w:lang w:val="ru-RU"/>
              </w:rPr>
              <w:t>Язык как система и деятельность – 6. Материалы всероссийской научной конференции; Южный федеральный университет. – Ростов-на-Дону: Издательство Южного федерального университета, 2017. – С. 27-29.</w:t>
            </w:r>
            <w:r>
              <w:rPr>
                <w:rStyle w:val="Strong"/>
                <w:rFonts w:eastAsia="SimSun"/>
                <w:b w:val="0"/>
                <w:bCs w:val="0"/>
                <w:iCs/>
                <w:sz w:val="28"/>
                <w:szCs w:val="28"/>
                <w:lang w:val="ru-RU"/>
              </w:rPr>
              <w:t xml:space="preserve"> (РИНЦ).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0" w:lineRule="atLeast"/>
              <w:ind w:left="12"/>
              <w:jc w:val="both"/>
            </w:pPr>
            <w:r>
              <w:rPr>
                <w:rStyle w:val="Strong"/>
                <w:rFonts w:eastAsia="SimSun"/>
                <w:b w:val="0"/>
                <w:iCs/>
                <w:sz w:val="28"/>
                <w:szCs w:val="28"/>
                <w:lang w:val="ru-RU"/>
              </w:rPr>
              <w:t>(0,3 п.л.).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_</w:t>
            </w: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Дискурсивное пространство в лингвистическом ракурсе </w:t>
            </w:r>
            <w:r>
              <w:rPr>
                <w:rFonts w:eastAsia="SimSun"/>
                <w:bCs/>
                <w:sz w:val="28"/>
                <w:szCs w:val="28"/>
                <w:lang w:val="ru-RU" w:eastAsia="zh-CN"/>
              </w:rPr>
              <w:t>(коллективная монография)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М. : Издательство "Перо", 2017. </w:t>
            </w:r>
            <w:r>
              <w:rPr>
                <w:rStyle w:val="Strong"/>
                <w:rFonts w:eastAsia="SimSun"/>
                <w:b w:val="0"/>
                <w:iCs/>
                <w:sz w:val="28"/>
                <w:szCs w:val="28"/>
                <w:lang w:val="ru-RU"/>
              </w:rPr>
              <w:t>– 184 с. –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rong"/>
                <w:rFonts w:eastAsia="SimSun"/>
                <w:b w:val="0"/>
                <w:iCs/>
                <w:sz w:val="28"/>
                <w:szCs w:val="28"/>
                <w:lang w:val="ru-RU"/>
              </w:rPr>
              <w:t>С. 37-59.</w:t>
            </w:r>
            <w:r>
              <w:rPr>
                <w:rStyle w:val="Strong"/>
                <w:rFonts w:eastAsia="SimSun"/>
                <w:b w:val="0"/>
                <w:bCs w:val="0"/>
                <w:iCs/>
                <w:sz w:val="28"/>
                <w:szCs w:val="28"/>
                <w:lang w:val="ru-RU"/>
              </w:rPr>
              <w:t xml:space="preserve"> (РИНЦ).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Style w:val="Strong"/>
                <w:rFonts w:eastAsia="Times New Roman"/>
                <w:b w:val="0"/>
                <w:color w:val="000000"/>
                <w:sz w:val="28"/>
                <w:szCs w:val="28"/>
                <w:lang w:val="ru-RU"/>
              </w:rPr>
              <w:t>11,6 п.л./</w:t>
            </w:r>
          </w:p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Fonts w:eastAsia="Times New Roman"/>
                <w:sz w:val="28"/>
                <w:szCs w:val="28"/>
                <w:lang w:val="ru-RU"/>
              </w:rPr>
              <w:t>(</w:t>
            </w:r>
            <w:r>
              <w:rPr>
                <w:rStyle w:val="Strong"/>
                <w:rFonts w:eastAsia="TimesNewRomanPS-BoldMT"/>
                <w:b w:val="0"/>
                <w:sz w:val="28"/>
                <w:szCs w:val="28"/>
                <w:lang w:val="ru-RU" w:eastAsia="zh-CN"/>
              </w:rPr>
              <w:t>1,3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/>
              </w:rPr>
              <w:t>п.л.).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Войченко В.М.,  Кликушина Т.Г., Полякова Е.В., Демонова Ю.М.  </w:t>
            </w: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9. 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0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Style w:val="Strong"/>
                <w:b w:val="0"/>
                <w:color w:val="000000"/>
                <w:sz w:val="28"/>
                <w:szCs w:val="28"/>
              </w:rPr>
              <w:t xml:space="preserve">Функциональные и структурные особенности числительных в </w:t>
            </w:r>
            <w:r>
              <w:rPr>
                <w:rStyle w:val="Strong"/>
                <w:b w:val="0"/>
                <w:color w:val="000000"/>
                <w:sz w:val="28"/>
                <w:szCs w:val="28"/>
              </w:rPr>
              <w:lastRenderedPageBreak/>
              <w:t xml:space="preserve">художественном тексте (на материале романа С. Коллинз «Голодные игры») 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Style w:val="Strong"/>
                <w:b w:val="0"/>
                <w:color w:val="000000"/>
                <w:sz w:val="28"/>
                <w:szCs w:val="28"/>
                <w:lang w:val="en-US"/>
              </w:rPr>
              <w:t xml:space="preserve">Languages and cultures in the world of today: proceedings of the III International 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en-US"/>
              </w:rPr>
              <w:lastRenderedPageBreak/>
              <w:t xml:space="preserve">conference of students, postgraduate students and young researchers (Taganrog, October 25–26, 2017) / Southern Federal University; [editorial team: I.I. Danilova et al.]. – Rostov-on-Don; Taganrog: Publishing House of Southern Federal University, 2017. </w:t>
            </w:r>
            <w:r>
              <w:rPr>
                <w:rStyle w:val="Strong"/>
                <w:rFonts w:eastAsia="SimSun"/>
                <w:b w:val="0"/>
                <w:iCs/>
                <w:sz w:val="28"/>
                <w:szCs w:val="28"/>
                <w:lang w:val="en-US"/>
              </w:rPr>
              <w:t xml:space="preserve">– </w:t>
            </w:r>
            <w:r>
              <w:rPr>
                <w:rStyle w:val="Strong"/>
                <w:b w:val="0"/>
                <w:color w:val="000000"/>
                <w:sz w:val="28"/>
                <w:szCs w:val="28"/>
              </w:rPr>
              <w:t>С</w:t>
            </w:r>
            <w:r>
              <w:rPr>
                <w:rStyle w:val="Strong"/>
                <w:b w:val="0"/>
                <w:color w:val="000000"/>
                <w:sz w:val="28"/>
                <w:szCs w:val="28"/>
                <w:lang w:val="en-US"/>
              </w:rPr>
              <w:t xml:space="preserve">. 208-210. </w:t>
            </w:r>
            <w:r>
              <w:rPr>
                <w:rStyle w:val="Strong"/>
                <w:rFonts w:eastAsia="SimSun"/>
                <w:b w:val="0"/>
                <w:iCs/>
                <w:sz w:val="28"/>
                <w:szCs w:val="28"/>
              </w:rPr>
              <w:t>(РИНЦ).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tabs>
                <w:tab w:val="left" w:pos="724"/>
              </w:tabs>
              <w:suppressAutoHyphens w:val="0"/>
              <w:snapToGrid w:val="0"/>
              <w:spacing w:after="120" w:line="200" w:lineRule="atLeast"/>
              <w:ind w:left="12"/>
              <w:jc w:val="both"/>
            </w:pPr>
            <w:r>
              <w:rPr>
                <w:rStyle w:val="Strong"/>
                <w:rFonts w:eastAsia="SimSun"/>
                <w:b w:val="0"/>
                <w:iCs/>
                <w:sz w:val="28"/>
                <w:szCs w:val="28"/>
              </w:rPr>
              <w:lastRenderedPageBreak/>
              <w:t>(0,2 п.л.).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Виды заданий для работы с видеоматериалами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TED talks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на занятиях по английскому языку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Язык и речь в синхронии и диахронии: Материалы Международной заочной научной конференции (Таганрог, 24 ноября 2017 г.) – Ростов-на-Дону: Таганрогский институт имени А.П. Чехова(филиал) «РГЭУ (РИНХ)», 2018. – С. 293-294. </w:t>
            </w:r>
            <w:r>
              <w:rPr>
                <w:rStyle w:val="a5"/>
                <w:rFonts w:eastAsia="SimSun"/>
                <w:iCs/>
                <w:color w:val="000000"/>
                <w:sz w:val="28"/>
                <w:szCs w:val="28"/>
                <w:lang w:val="ru-RU"/>
              </w:rPr>
              <w:t>(РИНЦ).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lang w:val="ru-RU"/>
              </w:rPr>
              <w:t xml:space="preserve">   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a5"/>
                <w:rFonts w:eastAsia="SimSun"/>
                <w:b w:val="0"/>
                <w:bCs w:val="0"/>
                <w:iCs/>
                <w:sz w:val="28"/>
                <w:szCs w:val="28"/>
                <w:lang w:val="ru-RU"/>
              </w:rPr>
              <w:t>(0,2 п.л.).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_</w:t>
            </w: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Некоторые особенности текстов группы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FEATURES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печ.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Язык и речь в синхронии и диахронии: Материалы Международной заочной научной конференции (Таганрог, 24 ноября 2017 г.) – Ростов-на-Дону: Таганрогский институт имени А.П. Чехова(филиал) «РГЭУ (РИНХ)», 2018. – С. 160-161. </w:t>
            </w:r>
            <w:r>
              <w:rPr>
                <w:rStyle w:val="a5"/>
                <w:rFonts w:eastAsia="SimSun"/>
                <w:iCs/>
                <w:color w:val="000000"/>
                <w:sz w:val="28"/>
                <w:szCs w:val="28"/>
                <w:lang w:val="ru-RU"/>
              </w:rPr>
              <w:t>(РИНЦ).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lang w:val="ru-RU"/>
              </w:rPr>
              <w:t xml:space="preserve">   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rStyle w:val="a5"/>
                <w:rFonts w:eastAsia="SimSun"/>
                <w:b w:val="0"/>
                <w:bCs w:val="0"/>
                <w:iCs/>
                <w:sz w:val="28"/>
                <w:szCs w:val="28"/>
                <w:lang w:val="ru-RU"/>
              </w:rPr>
              <w:t xml:space="preserve">(0,2 </w:t>
            </w:r>
            <w:r>
              <w:rPr>
                <w:rStyle w:val="a5"/>
                <w:rFonts w:eastAsia="Times New Roman"/>
                <w:b w:val="0"/>
                <w:bCs w:val="0"/>
                <w:iCs/>
                <w:sz w:val="28"/>
                <w:szCs w:val="28"/>
                <w:lang w:val="ru-RU"/>
              </w:rPr>
              <w:t>п.л</w:t>
            </w:r>
            <w:r>
              <w:rPr>
                <w:rStyle w:val="a5"/>
                <w:rFonts w:eastAsia="SimSun"/>
                <w:b w:val="0"/>
                <w:bCs w:val="0"/>
                <w:iCs/>
                <w:sz w:val="28"/>
                <w:szCs w:val="28"/>
                <w:lang w:val="ru-RU"/>
              </w:rPr>
              <w:t xml:space="preserve">/ </w:t>
            </w:r>
            <w:r>
              <w:rPr>
                <w:rStyle w:val="a5"/>
                <w:rFonts w:eastAsia="SimSun"/>
                <w:b w:val="0"/>
                <w:bCs w:val="0"/>
                <w:iCs/>
                <w:sz w:val="28"/>
                <w:szCs w:val="28"/>
                <w:lang w:val="en-US"/>
              </w:rPr>
              <w:t>0,1</w:t>
            </w:r>
            <w:r>
              <w:rPr>
                <w:rStyle w:val="a5"/>
                <w:rFonts w:eastAsia="SimSun"/>
                <w:b w:val="0"/>
                <w:bCs w:val="0"/>
                <w:iCs/>
                <w:sz w:val="28"/>
                <w:szCs w:val="28"/>
                <w:lang w:val="ru-RU"/>
              </w:rPr>
              <w:t xml:space="preserve"> п.л.).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Анохина Е.С.</w:t>
            </w: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b/>
                <w:lang w:val="ru-RU"/>
              </w:rPr>
            </w:pPr>
          </w:p>
        </w:tc>
      </w:tr>
      <w:tr w:rsidR="000B70EF">
        <w:tc>
          <w:tcPr>
            <w:tcW w:w="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27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0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sz w:val="28"/>
                <w:szCs w:val="28"/>
                <w:lang w:val="ru-RU"/>
              </w:rPr>
              <w:t xml:space="preserve">Вербальный буллинг в реальной жизни и в интернет-пространстве (на материале </w:t>
            </w:r>
            <w:r>
              <w:rPr>
                <w:sz w:val="28"/>
                <w:szCs w:val="28"/>
                <w:lang w:val="en-US"/>
              </w:rPr>
              <w:t>TED talks)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(статья)</w:t>
            </w:r>
          </w:p>
        </w:tc>
        <w:tc>
          <w:tcPr>
            <w:tcW w:w="826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</w:pPr>
            <w:r>
              <w:rPr>
                <w:rFonts w:eastAsia="Times New Roman"/>
                <w:sz w:val="28"/>
                <w:szCs w:val="28"/>
                <w:lang w:val="ru-RU"/>
              </w:rPr>
              <w:t>.   электрон.</w:t>
            </w:r>
          </w:p>
        </w:tc>
        <w:tc>
          <w:tcPr>
            <w:tcW w:w="25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200" w:lineRule="atLeast"/>
              <w:ind w:left="12"/>
              <w:jc w:val="both"/>
            </w:pPr>
            <w:r>
              <w:rPr>
                <w:sz w:val="28"/>
                <w:szCs w:val="28"/>
              </w:rPr>
              <w:t xml:space="preserve">Вербальный буллинг в соцсетях и иноязычном медиадискурсе: мат. Международ. заоч. науч. конф. / отв. ред. О.В.Кравец [Электронный ресурс].  Ростов н/Д.: Издательско-полиграфический комплекс РГЭУ (РИНХ), 2018. 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– С. 75-78. </w:t>
            </w:r>
            <w:r>
              <w:rPr>
                <w:rStyle w:val="a5"/>
                <w:rFonts w:eastAsia="SimSun"/>
                <w:iCs/>
                <w:color w:val="000000"/>
                <w:sz w:val="28"/>
                <w:szCs w:val="28"/>
                <w:lang w:val="ru-RU"/>
              </w:rPr>
              <w:t>(РИНЦ).</w:t>
            </w:r>
            <w:r>
              <w:rPr>
                <w:rStyle w:val="a5"/>
                <w:rFonts w:eastAsia="Times New Roman"/>
                <w:b w:val="0"/>
                <w:bCs w:val="0"/>
                <w:color w:val="000000"/>
                <w:lang w:val="ru-RU"/>
              </w:rPr>
              <w:t xml:space="preserve">   </w:t>
            </w:r>
          </w:p>
        </w:tc>
        <w:tc>
          <w:tcPr>
            <w:tcW w:w="109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pStyle w:val="a0"/>
              <w:tabs>
                <w:tab w:val="left" w:pos="724"/>
              </w:tabs>
              <w:suppressAutoHyphens w:val="0"/>
              <w:snapToGrid w:val="0"/>
              <w:spacing w:line="0" w:lineRule="atLeast"/>
              <w:ind w:left="12"/>
              <w:jc w:val="both"/>
            </w:pPr>
            <w:r>
              <w:rPr>
                <w:rStyle w:val="Strong"/>
                <w:rFonts w:eastAsia="SimSun"/>
                <w:b w:val="0"/>
                <w:iCs/>
                <w:sz w:val="28"/>
                <w:szCs w:val="28"/>
                <w:lang w:val="ru-RU"/>
              </w:rPr>
              <w:t>(0,3 п.л.).</w:t>
            </w:r>
          </w:p>
        </w:tc>
        <w:tc>
          <w:tcPr>
            <w:tcW w:w="22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0B70EF" w:rsidRDefault="000B70EF">
            <w:pPr>
              <w:snapToGrid w:val="0"/>
              <w:jc w:val="center"/>
            </w:pPr>
            <w:r>
              <w:rPr>
                <w:rFonts w:eastAsia="Times New Roman"/>
                <w:sz w:val="28"/>
                <w:szCs w:val="28"/>
                <w:lang w:val="ru-RU"/>
              </w:rPr>
              <w:t>_</w:t>
            </w:r>
          </w:p>
          <w:p w:rsidR="000B70EF" w:rsidRDefault="000B70EF">
            <w:pPr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0" w:type="dxa"/>
            <w:tcBorders>
              <w:left w:val="single" w:sz="4" w:space="0" w:color="000001"/>
            </w:tcBorders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65" w:type="dxa"/>
            <w:gridSpan w:val="4"/>
            <w:shd w:val="clear" w:color="auto" w:fill="auto"/>
          </w:tcPr>
          <w:p w:rsidR="000B70EF" w:rsidRDefault="000B70EF">
            <w:pPr>
              <w:snapToGrid w:val="0"/>
              <w:rPr>
                <w:rFonts w:eastAsia="Times New Roman"/>
                <w:b/>
                <w:lang w:val="ru-RU"/>
              </w:rPr>
            </w:pPr>
          </w:p>
        </w:tc>
      </w:tr>
      <w:tr w:rsidR="000B70EF">
        <w:trPr>
          <w:gridAfter w:val="1"/>
          <w:wAfter w:w="12" w:type="dxa"/>
        </w:trPr>
        <w:tc>
          <w:tcPr>
            <w:tcW w:w="10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  <w:ind w:left="-360" w:firstLine="180"/>
              <w:rPr>
                <w:rFonts w:eastAsia="Times New Roman"/>
                <w:b/>
                <w:lang w:val="ru-RU"/>
              </w:rPr>
            </w:pPr>
          </w:p>
          <w:p w:rsidR="000B70EF" w:rsidRDefault="000B70EF">
            <w:pPr>
              <w:ind w:left="-180"/>
              <w:jc w:val="center"/>
            </w:pPr>
            <w:r>
              <w:rPr>
                <w:rFonts w:eastAsia="Times New Roman"/>
                <w:b/>
                <w:lang w:val="ru-RU"/>
              </w:rPr>
              <w:t>В. Учебно-методические работы</w:t>
            </w:r>
          </w:p>
        </w:tc>
        <w:tc>
          <w:tcPr>
            <w:tcW w:w="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</w:pPr>
          </w:p>
        </w:tc>
      </w:tr>
      <w:tr w:rsidR="000B70EF">
        <w:tblPrEx>
          <w:tblCellMar>
            <w:left w:w="108" w:type="dxa"/>
            <w:right w:w="108" w:type="dxa"/>
          </w:tblCellMar>
        </w:tblPrEx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  <w:ind w:left="-108" w:hanging="108"/>
              <w:jc w:val="center"/>
            </w:pPr>
            <w:r>
              <w:rPr>
                <w:rFonts w:eastAsia="Times New Roman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r>
              <w:rPr>
                <w:sz w:val="28"/>
                <w:szCs w:val="28"/>
              </w:rPr>
              <w:t xml:space="preserve">Учись учить (обучение с удовольствием): Учебное пособие по курсу "Методика обучения английскому языку" 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</w:pPr>
            <w:r>
              <w:rPr>
                <w:sz w:val="28"/>
                <w:szCs w:val="28"/>
              </w:rPr>
              <w:t>печ.</w:t>
            </w:r>
          </w:p>
        </w:tc>
        <w:tc>
          <w:tcPr>
            <w:tcW w:w="26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</w:pPr>
            <w:r>
              <w:rPr>
                <w:color w:val="000000"/>
                <w:sz w:val="28"/>
                <w:szCs w:val="28"/>
              </w:rPr>
              <w:t xml:space="preserve">Таганрог: Издатель Ступин С.А., 2018.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  <w:lang/>
              </w:rPr>
              <w:t>–</w:t>
            </w:r>
            <w:r>
              <w:rPr>
                <w:color w:val="000000"/>
                <w:sz w:val="28"/>
                <w:szCs w:val="28"/>
              </w:rPr>
              <w:t>160 с.</w:t>
            </w:r>
          </w:p>
        </w:tc>
        <w:tc>
          <w:tcPr>
            <w:tcW w:w="10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</w:pPr>
            <w:r>
              <w:rPr>
                <w:sz w:val="28"/>
                <w:szCs w:val="28"/>
              </w:rPr>
              <w:t>10 п.л./</w:t>
            </w:r>
          </w:p>
          <w:p w:rsidR="000B70EF" w:rsidRDefault="000B70EF">
            <w:r>
              <w:rPr>
                <w:sz w:val="28"/>
                <w:szCs w:val="28"/>
              </w:rPr>
              <w:t>(5 п.л.)</w:t>
            </w:r>
          </w:p>
        </w:tc>
        <w:tc>
          <w:tcPr>
            <w:tcW w:w="23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  <w:jc w:val="center"/>
            </w:pPr>
            <w:r>
              <w:rPr>
                <w:sz w:val="28"/>
                <w:szCs w:val="28"/>
              </w:rPr>
              <w:t>Пальмова Е.А.</w:t>
            </w:r>
          </w:p>
        </w:tc>
        <w:tc>
          <w:tcPr>
            <w:tcW w:w="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0EF" w:rsidRDefault="000B70EF">
            <w:pPr>
              <w:snapToGrid w:val="0"/>
            </w:pPr>
          </w:p>
        </w:tc>
      </w:tr>
    </w:tbl>
    <w:p w:rsidR="000B70EF" w:rsidRDefault="000B70EF">
      <w:pPr>
        <w:widowControl/>
        <w:spacing w:before="180" w:after="180"/>
        <w:rPr>
          <w:rFonts w:ascii="sans-serif" w:hAnsi="sans-serif" w:cs="sans-serif"/>
          <w:color w:val="2D3B45"/>
          <w:lang w:val="en-US"/>
        </w:rPr>
      </w:pPr>
    </w:p>
    <w:sectPr w:rsidR="000B70E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5D3D"/>
    <w:rsid w:val="00040E47"/>
    <w:rsid w:val="000B70EF"/>
    <w:rsid w:val="004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4">
    <w:name w:val="Hyperlink"/>
    <w:rPr>
      <w:color w:val="000080"/>
      <w:u w:val="single"/>
      <w:lang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">
    <w:name w:val="Strong"/>
    <w:rPr>
      <w:b/>
      <w:bCs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kravec</dc:creator>
  <cp:lastModifiedBy>Великая Ольга Сергеевна</cp:lastModifiedBy>
  <cp:revision>2</cp:revision>
  <cp:lastPrinted>2018-01-12T18:56:00Z</cp:lastPrinted>
  <dcterms:created xsi:type="dcterms:W3CDTF">2019-05-07T11:46:00Z</dcterms:created>
  <dcterms:modified xsi:type="dcterms:W3CDTF">2019-05-07T11:46:00Z</dcterms:modified>
</cp:coreProperties>
</file>